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kinsoku w:val="0"/>
        <w:overflowPunct w:val="0"/>
        <w:snapToGrid w:val="0"/>
        <w:spacing w:line="360" w:lineRule="auto"/>
        <w:jc w:val="center"/>
        <w:rPr>
          <w:b/>
        </w:rPr>
      </w:pPr>
      <w:bookmarkStart w:id="0" w:name="_GoBack"/>
      <w:bookmarkEnd w:id="0"/>
      <w:r>
        <w:rPr>
          <w:rFonts w:hint="eastAsia"/>
          <w:b/>
        </w:rPr>
        <w:t>用户需求书</w:t>
      </w:r>
    </w:p>
    <w:p>
      <w:pPr>
        <w:pStyle w:val="5"/>
        <w:kinsoku w:val="0"/>
        <w:overflowPunct w:val="0"/>
        <w:snapToGrid w:val="0"/>
        <w:spacing w:line="360" w:lineRule="auto"/>
        <w:rPr>
          <w:b/>
        </w:rPr>
      </w:pPr>
      <w:r>
        <w:rPr>
          <w:rFonts w:hint="eastAsia"/>
          <w:b/>
        </w:rPr>
        <w:t>一、项目概况</w:t>
      </w:r>
    </w:p>
    <w:p>
      <w:pPr>
        <w:pStyle w:val="5"/>
        <w:kinsoku w:val="0"/>
        <w:overflowPunct w:val="0"/>
        <w:snapToGrid w:val="0"/>
        <w:spacing w:line="360" w:lineRule="auto"/>
        <w:ind w:firstLine="420" w:firstLineChars="200"/>
        <w:rPr>
          <w:rFonts w:asciiTheme="minorEastAsia" w:hAnsiTheme="minorEastAsia" w:eastAsiaTheme="minorEastAsia"/>
          <w:bCs/>
        </w:rPr>
      </w:pPr>
      <w:r>
        <w:rPr>
          <w:rFonts w:hint="eastAsia" w:asciiTheme="minorEastAsia" w:hAnsiTheme="minorEastAsia" w:eastAsiaTheme="minorEastAsia"/>
          <w:bCs/>
        </w:rPr>
        <w:t>为了保障松山湖重点人群落地排查工作，本着“早发现、早报告、早诊断、早隔离、早治疗”五早的原则。本项目采购1名供应商成立专业采样队，提供核酸采样服务。</w:t>
      </w:r>
    </w:p>
    <w:p>
      <w:pPr>
        <w:pStyle w:val="5"/>
        <w:kinsoku w:val="0"/>
        <w:overflowPunct w:val="0"/>
        <w:snapToGrid w:val="0"/>
        <w:spacing w:line="360" w:lineRule="auto"/>
      </w:pPr>
      <w:r>
        <w:rPr>
          <w:rFonts w:hint="eastAsia"/>
          <w:b/>
        </w:rPr>
        <w:t>二、服务地点</w:t>
      </w:r>
    </w:p>
    <w:p>
      <w:pPr>
        <w:pStyle w:val="5"/>
        <w:kinsoku w:val="0"/>
        <w:overflowPunct w:val="0"/>
        <w:snapToGrid w:val="0"/>
        <w:spacing w:line="360" w:lineRule="auto"/>
        <w:ind w:firstLine="420" w:firstLineChars="200"/>
        <w:rPr>
          <w:rFonts w:asciiTheme="minorEastAsia" w:hAnsiTheme="minorEastAsia" w:eastAsiaTheme="minorEastAsia"/>
          <w:bCs/>
        </w:rPr>
      </w:pPr>
      <w:r>
        <w:rPr>
          <w:rFonts w:hint="eastAsia" w:asciiTheme="minorEastAsia" w:hAnsiTheme="minorEastAsia" w:eastAsiaTheme="minorEastAsia"/>
          <w:bCs/>
        </w:rPr>
        <w:t>本项目服务地点为松山湖区域内，中标人须根据采购人要求增设相应采样人员。</w:t>
      </w:r>
    </w:p>
    <w:p>
      <w:pPr>
        <w:pStyle w:val="5"/>
        <w:kinsoku w:val="0"/>
        <w:overflowPunct w:val="0"/>
        <w:snapToGrid w:val="0"/>
        <w:spacing w:line="360" w:lineRule="auto"/>
        <w:rPr>
          <w:b/>
        </w:rPr>
      </w:pPr>
      <w:r>
        <w:rPr>
          <w:rFonts w:hint="eastAsia"/>
          <w:b/>
        </w:rPr>
        <w:t>三、工作时间</w:t>
      </w:r>
    </w:p>
    <w:p>
      <w:pPr>
        <w:pStyle w:val="5"/>
        <w:kinsoku w:val="0"/>
        <w:overflowPunct w:val="0"/>
        <w:snapToGrid w:val="0"/>
        <w:spacing w:line="360" w:lineRule="auto"/>
        <w:ind w:firstLine="420" w:firstLineChars="200"/>
        <w:rPr>
          <w:rFonts w:asciiTheme="minorEastAsia" w:hAnsiTheme="minorEastAsia" w:eastAsiaTheme="minorEastAsia"/>
          <w:bCs/>
        </w:rPr>
      </w:pPr>
      <w:r>
        <w:rPr>
          <w:rFonts w:hint="eastAsia" w:asciiTheme="minorEastAsia" w:hAnsiTheme="minorEastAsia" w:eastAsiaTheme="minorEastAsia"/>
          <w:bCs/>
        </w:rPr>
        <w:t>工作时间：从早上8时至次日凌晨</w:t>
      </w:r>
      <w:r>
        <w:rPr>
          <w:rFonts w:hint="eastAsia" w:asciiTheme="minorEastAsia" w:hAnsiTheme="minorEastAsia" w:eastAsiaTheme="minorEastAsia"/>
          <w:bCs/>
          <w:lang w:val="en-US" w:eastAsia="zh-CN"/>
        </w:rPr>
        <w:t>1</w:t>
      </w:r>
      <w:r>
        <w:rPr>
          <w:rFonts w:hint="eastAsia" w:asciiTheme="minorEastAsia" w:hAnsiTheme="minorEastAsia" w:eastAsiaTheme="minorEastAsia"/>
          <w:bCs/>
        </w:rPr>
        <w:t>时止，分为早班、晚班，每班工作8小时，工作时间可根据开展采样任务的需要进行调整。</w:t>
      </w:r>
    </w:p>
    <w:p>
      <w:pPr>
        <w:snapToGrid w:val="0"/>
        <w:spacing w:line="360" w:lineRule="auto"/>
        <w:rPr>
          <w:b/>
          <w:sz w:val="21"/>
          <w:szCs w:val="21"/>
        </w:rPr>
      </w:pPr>
      <w:r>
        <w:rPr>
          <w:rFonts w:hint="eastAsia"/>
          <w:b/>
          <w:sz w:val="21"/>
          <w:szCs w:val="21"/>
        </w:rPr>
        <w:t>四、工作内容：</w:t>
      </w:r>
    </w:p>
    <w:p>
      <w:pPr>
        <w:snapToGrid w:val="0"/>
        <w:spacing w:line="360" w:lineRule="auto"/>
        <w:ind w:firstLine="420" w:firstLineChars="200"/>
        <w:rPr>
          <w:sz w:val="21"/>
          <w:szCs w:val="21"/>
        </w:rPr>
      </w:pPr>
      <w:r>
        <w:rPr>
          <w:rFonts w:hint="eastAsia" w:asciiTheme="minorEastAsia" w:hAnsiTheme="minorEastAsia" w:eastAsiaTheme="minorEastAsia"/>
          <w:bCs/>
          <w:sz w:val="21"/>
          <w:szCs w:val="21"/>
        </w:rPr>
        <w:t>1、</w:t>
      </w:r>
      <w:r>
        <w:rPr>
          <w:rFonts w:hint="eastAsia"/>
          <w:sz w:val="21"/>
          <w:szCs w:val="21"/>
        </w:rPr>
        <w:t>中标人要提前准备采样所需专业采样人员，采样人员要为卫生专业技术人员，并经培训合格后方可上岗，采样人员信息必须在采购人处备案，接受社区卫生服务中心业务指导。</w:t>
      </w:r>
    </w:p>
    <w:p>
      <w:pPr>
        <w:snapToGrid w:val="0"/>
        <w:spacing w:line="360" w:lineRule="auto"/>
        <w:ind w:firstLine="420" w:firstLineChars="200"/>
        <w:rPr>
          <w:sz w:val="21"/>
          <w:szCs w:val="21"/>
        </w:rPr>
      </w:pPr>
      <w:r>
        <w:rPr>
          <w:rFonts w:hint="eastAsia" w:asciiTheme="minorEastAsia" w:hAnsiTheme="minorEastAsia" w:eastAsiaTheme="minorEastAsia"/>
          <w:bCs/>
          <w:sz w:val="21"/>
          <w:szCs w:val="21"/>
        </w:rPr>
        <w:t>2、</w:t>
      </w:r>
      <w:r>
        <w:rPr>
          <w:rFonts w:hint="eastAsia"/>
          <w:sz w:val="21"/>
          <w:szCs w:val="21"/>
        </w:rPr>
        <w:t>中标人要对采购人提供的采样信息保密。未经采购人书面同意或授权的前提下，不得向与工作无关人员泄露委托采样地点、采样人员信息、项目内容、样本结果及数据等。保密期限自获取信息之日起至约定的保密内容成为公开信息之日或双方确认的解密之日止。</w:t>
      </w:r>
    </w:p>
    <w:p>
      <w:pPr>
        <w:snapToGrid w:val="0"/>
        <w:spacing w:line="360" w:lineRule="auto"/>
        <w:ind w:firstLine="420" w:firstLineChars="200"/>
        <w:rPr>
          <w:sz w:val="21"/>
          <w:szCs w:val="21"/>
        </w:rPr>
      </w:pPr>
      <w:r>
        <w:rPr>
          <w:rFonts w:hint="eastAsia" w:asciiTheme="minorEastAsia" w:hAnsiTheme="minorEastAsia" w:eastAsiaTheme="minorEastAsia"/>
          <w:bCs/>
          <w:sz w:val="21"/>
          <w:szCs w:val="21"/>
        </w:rPr>
        <w:t>3、</w:t>
      </w:r>
      <w:r>
        <w:rPr>
          <w:rFonts w:hint="eastAsia"/>
          <w:sz w:val="21"/>
          <w:szCs w:val="21"/>
        </w:rPr>
        <w:t>中标人的采样过程，要严格按采样流程进行，因中标人操作不当原因造成院感等事件发生的，由此造成的一切责任均由中标人承担。</w:t>
      </w:r>
    </w:p>
    <w:p>
      <w:pPr>
        <w:snapToGrid w:val="0"/>
        <w:spacing w:line="360" w:lineRule="auto"/>
        <w:ind w:firstLine="420" w:firstLineChars="200"/>
        <w:rPr>
          <w:sz w:val="21"/>
          <w:szCs w:val="21"/>
        </w:rPr>
      </w:pPr>
      <w:r>
        <w:rPr>
          <w:rFonts w:hint="eastAsia" w:asciiTheme="minorEastAsia" w:hAnsiTheme="minorEastAsia" w:eastAsiaTheme="minorEastAsia"/>
          <w:bCs/>
          <w:sz w:val="21"/>
          <w:szCs w:val="21"/>
        </w:rPr>
        <w:t>4、</w:t>
      </w:r>
      <w:r>
        <w:rPr>
          <w:rFonts w:hint="eastAsia"/>
          <w:sz w:val="21"/>
          <w:szCs w:val="21"/>
        </w:rPr>
        <w:t>采样后要按规定做好样品的保存。遇到加急样本，中标人采样后应马上联系司机按规定时间送至检测机构。</w:t>
      </w:r>
    </w:p>
    <w:p>
      <w:pPr>
        <w:snapToGrid w:val="0"/>
        <w:spacing w:line="360" w:lineRule="auto"/>
        <w:rPr>
          <w:b/>
          <w:sz w:val="21"/>
          <w:szCs w:val="21"/>
        </w:rPr>
      </w:pPr>
      <w:r>
        <w:rPr>
          <w:rFonts w:hint="eastAsia"/>
          <w:b/>
          <w:sz w:val="21"/>
          <w:szCs w:val="21"/>
        </w:rPr>
        <w:t>五、服务要求</w:t>
      </w:r>
    </w:p>
    <w:p>
      <w:pPr>
        <w:pStyle w:val="5"/>
        <w:kinsoku w:val="0"/>
        <w:overflowPunct w:val="0"/>
        <w:snapToGrid w:val="0"/>
        <w:spacing w:line="360" w:lineRule="auto"/>
        <w:ind w:firstLine="420" w:firstLineChars="200"/>
        <w:rPr>
          <w:rFonts w:asciiTheme="minorEastAsia" w:hAnsiTheme="minorEastAsia" w:eastAsiaTheme="minorEastAsia"/>
          <w:bCs/>
        </w:rPr>
      </w:pPr>
      <w:r>
        <w:rPr>
          <w:rFonts w:hint="eastAsia"/>
        </w:rPr>
        <w:t>1、</w:t>
      </w:r>
      <w:r>
        <w:rPr>
          <w:rFonts w:hint="eastAsia" w:asciiTheme="minorEastAsia" w:hAnsiTheme="minorEastAsia" w:eastAsiaTheme="minorEastAsia"/>
          <w:bCs/>
        </w:rPr>
        <w:t>中标人按采购人的要求成立专业采样队，按三人小组工作模式分派到各个片区派出所驻点，配合卫健人员，联同公安和网格员等一同上门开展核酸采样工作。</w:t>
      </w:r>
    </w:p>
    <w:p>
      <w:pPr>
        <w:snapToGrid w:val="0"/>
        <w:spacing w:line="360" w:lineRule="auto"/>
        <w:ind w:firstLine="420" w:firstLineChars="200"/>
        <w:rPr>
          <w:sz w:val="21"/>
          <w:szCs w:val="21"/>
        </w:rPr>
      </w:pPr>
      <w:r>
        <w:rPr>
          <w:rFonts w:hint="eastAsia"/>
          <w:sz w:val="21"/>
          <w:szCs w:val="21"/>
        </w:rPr>
        <w:t>2、中标人采样前，应核对采样地点及采样人员、采样物表信息。中标人采样时，要严格按《东莞市疫情防控指挥办医疗救治组关于进一步提升新冠病毒核酸检测应急处置能力的通知》进行采样操作。中标人采样后，要按防疫要求对样品进行消毒、密封及保存，并对周围环境进行消杀。如因操作不当等原因造成院感等事件发生，由此造成的一切责任均由中标人承担。如发现中标人采样样品与采购人提供的名单不一致，中标人需按甲方要求重新采样。</w:t>
      </w:r>
    </w:p>
    <w:p>
      <w:pPr>
        <w:snapToGrid w:val="0"/>
        <w:spacing w:line="360" w:lineRule="auto"/>
        <w:ind w:firstLine="420" w:firstLineChars="200"/>
        <w:rPr>
          <w:sz w:val="21"/>
          <w:szCs w:val="21"/>
        </w:rPr>
      </w:pPr>
      <w:r>
        <w:rPr>
          <w:rFonts w:hint="eastAsia"/>
          <w:sz w:val="21"/>
          <w:szCs w:val="21"/>
        </w:rPr>
        <w:t>3、中标人采样时须注重说话语气及态度，如因采样工作导致被居民投诉，或不服从管理的，采购人有权追究中标人责任，并要求替换相关采样人员。</w:t>
      </w:r>
    </w:p>
    <w:p>
      <w:pPr>
        <w:snapToGrid w:val="0"/>
        <w:spacing w:line="360" w:lineRule="auto"/>
        <w:ind w:firstLine="420" w:firstLineChars="200"/>
        <w:rPr>
          <w:sz w:val="21"/>
          <w:szCs w:val="21"/>
        </w:rPr>
      </w:pPr>
      <w:r>
        <w:rPr>
          <w:rFonts w:hint="eastAsia"/>
          <w:sz w:val="21"/>
          <w:szCs w:val="21"/>
        </w:rPr>
        <w:t>4、中标人有为采购人保密的义务，在未经采购人同意或授权前提下，中标人不得向采购人采样工作以外的无关人员泄露采购人所委托的采样地点、采样人员信息及项目等内容、结果及数据。若中标人违反本约定的，采购人有权单方面终止服务合同，并且中标人承担因此对采购人造成的全部损失以及承担相应的处罚。</w:t>
      </w:r>
    </w:p>
    <w:p>
      <w:pPr>
        <w:snapToGrid w:val="0"/>
        <w:spacing w:line="360" w:lineRule="auto"/>
        <w:ind w:firstLine="420" w:firstLineChars="200"/>
        <w:rPr>
          <w:rFonts w:asciiTheme="minorEastAsia" w:hAnsiTheme="minorEastAsia" w:eastAsiaTheme="minorEastAsia"/>
          <w:b/>
          <w:bCs/>
          <w:sz w:val="21"/>
          <w:szCs w:val="21"/>
        </w:rPr>
      </w:pPr>
      <w:r>
        <w:rPr>
          <w:rFonts w:hint="eastAsia"/>
          <w:sz w:val="21"/>
          <w:szCs w:val="21"/>
        </w:rPr>
        <w:t>5、按照采购人的要求，中标人应妥善处理和保存样品，如出现样品丢失、倾泻、破裂等事故造成社会危害及重新采集样品费以及运输费等，经济损失和法律责任均由中标人承担。</w:t>
      </w:r>
      <w:r>
        <w:rPr>
          <w:rFonts w:hint="eastAsia"/>
          <w:sz w:val="21"/>
          <w:szCs w:val="21"/>
        </w:rPr>
        <w:cr/>
      </w:r>
      <w:r>
        <w:rPr>
          <w:rFonts w:hint="eastAsia" w:asciiTheme="minorEastAsia" w:hAnsiTheme="minorEastAsia" w:eastAsiaTheme="minorEastAsia"/>
          <w:b/>
          <w:bCs/>
          <w:sz w:val="21"/>
          <w:szCs w:val="21"/>
        </w:rPr>
        <w:t>六、人员要求</w:t>
      </w:r>
    </w:p>
    <w:p>
      <w:pPr>
        <w:snapToGrid w:val="0"/>
        <w:spacing w:line="360" w:lineRule="auto"/>
        <w:ind w:firstLine="420" w:firstLineChars="200"/>
        <w:rPr>
          <w:sz w:val="21"/>
          <w:szCs w:val="21"/>
        </w:rPr>
      </w:pPr>
      <w:r>
        <w:rPr>
          <w:sz w:val="21"/>
          <w:szCs w:val="21"/>
        </w:rPr>
        <w:t>1</w:t>
      </w:r>
      <w:r>
        <w:rPr>
          <w:rFonts w:hint="eastAsia"/>
          <w:sz w:val="21"/>
          <w:szCs w:val="21"/>
        </w:rPr>
        <w:t>、中标人须根据实际情况及要求配备采样人员。</w:t>
      </w:r>
    </w:p>
    <w:p>
      <w:pPr>
        <w:snapToGrid w:val="0"/>
        <w:spacing w:line="360" w:lineRule="auto"/>
        <w:ind w:firstLine="420" w:firstLineChars="200"/>
        <w:rPr>
          <w:sz w:val="21"/>
          <w:szCs w:val="21"/>
        </w:rPr>
      </w:pPr>
      <w:r>
        <w:rPr>
          <w:rFonts w:hint="eastAsia"/>
          <w:sz w:val="21"/>
          <w:szCs w:val="21"/>
        </w:rPr>
        <w:t>注：投标人拟派的采样人员在服务期内的人事调整（指离职、调动、岗位轮换等情况）或人员补充需及时向采购人报备。</w:t>
      </w:r>
    </w:p>
    <w:p>
      <w:pPr>
        <w:snapToGrid w:val="0"/>
        <w:spacing w:line="360" w:lineRule="auto"/>
        <w:ind w:firstLine="420" w:firstLineChars="200"/>
        <w:rPr>
          <w:sz w:val="21"/>
          <w:szCs w:val="21"/>
        </w:rPr>
      </w:pPr>
      <w:r>
        <w:rPr>
          <w:rFonts w:hint="eastAsia"/>
          <w:sz w:val="21"/>
          <w:szCs w:val="21"/>
        </w:rPr>
        <w:t>2、采样人员必须获得医师执业证书或者护士执业证书，具备完成采样的专业能力。</w:t>
      </w:r>
    </w:p>
    <w:p>
      <w:pPr>
        <w:snapToGrid w:val="0"/>
        <w:spacing w:line="360" w:lineRule="auto"/>
        <w:ind w:firstLine="420" w:firstLineChars="200"/>
        <w:rPr>
          <w:sz w:val="21"/>
          <w:szCs w:val="21"/>
        </w:rPr>
      </w:pPr>
      <w:r>
        <w:rPr>
          <w:rFonts w:hint="eastAsia"/>
          <w:sz w:val="21"/>
          <w:szCs w:val="21"/>
        </w:rPr>
        <w:t>3、采样人员年龄需40岁以下，如操作熟练，可适当放宽年龄范围。</w:t>
      </w:r>
    </w:p>
    <w:p>
      <w:pPr>
        <w:snapToGrid w:val="0"/>
        <w:spacing w:line="360" w:lineRule="auto"/>
        <w:ind w:firstLine="420" w:firstLineChars="200"/>
        <w:rPr>
          <w:sz w:val="21"/>
          <w:szCs w:val="21"/>
        </w:rPr>
      </w:pPr>
      <w:r>
        <w:rPr>
          <w:rFonts w:hint="eastAsia"/>
          <w:sz w:val="21"/>
          <w:szCs w:val="21"/>
        </w:rPr>
        <w:t>4、采样人员务必按照相关要求做好个人防护才能上岗作业。</w:t>
      </w:r>
    </w:p>
    <w:p>
      <w:pPr>
        <w:snapToGrid w:val="0"/>
        <w:spacing w:line="360" w:lineRule="auto"/>
        <w:ind w:firstLine="420" w:firstLineChars="200"/>
        <w:rPr>
          <w:sz w:val="21"/>
          <w:szCs w:val="21"/>
        </w:rPr>
      </w:pPr>
      <w:r>
        <w:rPr>
          <w:rFonts w:hint="eastAsia"/>
          <w:sz w:val="21"/>
          <w:szCs w:val="21"/>
        </w:rPr>
        <w:t>5、投入本项目的采样人员具有驾驶证的，中标人应优先选用。</w:t>
      </w:r>
    </w:p>
    <w:p>
      <w:pPr>
        <w:snapToGrid w:val="0"/>
        <w:spacing w:line="360" w:lineRule="auto"/>
        <w:ind w:firstLine="420" w:firstLineChars="200"/>
        <w:rPr>
          <w:sz w:val="21"/>
          <w:szCs w:val="21"/>
        </w:rPr>
      </w:pPr>
      <w:r>
        <w:rPr>
          <w:rFonts w:hint="eastAsia"/>
          <w:sz w:val="21"/>
          <w:szCs w:val="21"/>
        </w:rPr>
        <w:t>6、采样人员为卫生专业技术人员，经培训合格并通过采购人考核通过后方可上岗。如采样人员未通过采购人考核，采购人通知中标人后，中标人在24小时内进行替换采样人员。</w:t>
      </w:r>
    </w:p>
    <w:p>
      <w:pPr>
        <w:pStyle w:val="3"/>
        <w:kinsoku w:val="0"/>
        <w:overflowPunct w:val="0"/>
        <w:snapToGrid w:val="0"/>
        <w:spacing w:line="360" w:lineRule="auto"/>
        <w:ind w:left="0"/>
        <w:rPr>
          <w:rFonts w:asciiTheme="minorEastAsia" w:hAnsiTheme="minorEastAsia" w:eastAsiaTheme="minorEastAsia"/>
        </w:rPr>
      </w:pPr>
      <w:r>
        <w:rPr>
          <w:rFonts w:hint="eastAsia" w:asciiTheme="minorEastAsia" w:hAnsiTheme="minorEastAsia" w:eastAsiaTheme="minorEastAsia"/>
        </w:rPr>
        <w:t>七、采样人员服务质量要求</w:t>
      </w:r>
    </w:p>
    <w:p>
      <w:pPr>
        <w:snapToGrid w:val="0"/>
        <w:spacing w:line="360" w:lineRule="auto"/>
        <w:ind w:firstLine="420" w:firstLineChars="200"/>
        <w:rPr>
          <w:sz w:val="21"/>
          <w:szCs w:val="21"/>
        </w:rPr>
      </w:pPr>
      <w:r>
        <w:rPr>
          <w:rFonts w:hint="eastAsia"/>
          <w:sz w:val="21"/>
          <w:szCs w:val="21"/>
        </w:rPr>
        <w:t>1、核酸采样人员在进入岗位前，应接受个人防护用品穿脱、标本的采集和保存、标准预防、医疗废物处置流程、核酸标本采集流程、职业暴露处置流程等方面的培训和指导，确保采样人员个人防护、手卫生、消毒等措施符合要求。采样人员接受个人防护用品穿脱、标本的采集和保存、标准预防、医疗废物处置流程、核酸标本采集流程、职业暴露处置流程等方面的培训和指导，有区级或以上单位提供相关培训记录，培训覆盖率须为</w:t>
      </w:r>
      <w:r>
        <w:rPr>
          <w:sz w:val="21"/>
          <w:szCs w:val="21"/>
        </w:rPr>
        <w:t>100%</w:t>
      </w:r>
      <w:r>
        <w:rPr>
          <w:rFonts w:hint="eastAsia"/>
          <w:sz w:val="21"/>
          <w:szCs w:val="21"/>
        </w:rPr>
        <w:t>。</w:t>
      </w:r>
    </w:p>
    <w:p>
      <w:pPr>
        <w:snapToGrid w:val="0"/>
        <w:spacing w:line="360" w:lineRule="auto"/>
        <w:ind w:firstLine="420" w:firstLineChars="200"/>
        <w:rPr>
          <w:sz w:val="21"/>
          <w:szCs w:val="21"/>
        </w:rPr>
      </w:pPr>
      <w:r>
        <w:rPr>
          <w:rFonts w:hint="eastAsia"/>
          <w:sz w:val="21"/>
          <w:szCs w:val="21"/>
        </w:rPr>
        <w:t>2、核酸采样人员防护要求</w:t>
      </w:r>
      <w:r>
        <w:rPr>
          <w:sz w:val="21"/>
          <w:szCs w:val="21"/>
        </w:rPr>
        <w:t>:</w:t>
      </w:r>
      <w:r>
        <w:rPr>
          <w:rFonts w:hint="eastAsia"/>
          <w:sz w:val="21"/>
          <w:szCs w:val="21"/>
        </w:rPr>
        <w:t>应穿戴一次性帽子、医用防护口罩、防护服、护目镜或面屏、乳胶手套，必要时穿鞋套</w:t>
      </w:r>
      <w:r>
        <w:rPr>
          <w:sz w:val="21"/>
          <w:szCs w:val="21"/>
        </w:rPr>
        <w:t>/</w:t>
      </w:r>
      <w:r>
        <w:rPr>
          <w:rFonts w:hint="eastAsia"/>
          <w:sz w:val="21"/>
          <w:szCs w:val="21"/>
        </w:rPr>
        <w:t>靴套。</w:t>
      </w:r>
    </w:p>
    <w:p>
      <w:pPr>
        <w:snapToGrid w:val="0"/>
        <w:spacing w:line="360" w:lineRule="auto"/>
        <w:ind w:firstLine="420" w:firstLineChars="200"/>
        <w:rPr>
          <w:sz w:val="21"/>
          <w:szCs w:val="21"/>
        </w:rPr>
      </w:pPr>
      <w:r>
        <w:rPr>
          <w:rFonts w:hint="eastAsia"/>
          <w:sz w:val="21"/>
          <w:szCs w:val="21"/>
        </w:rPr>
        <w:t>3、采样人员应选择与自身型号相符的手套及防护服。</w:t>
      </w:r>
    </w:p>
    <w:p>
      <w:pPr>
        <w:snapToGrid w:val="0"/>
        <w:spacing w:line="360" w:lineRule="auto"/>
        <w:ind w:firstLine="420" w:firstLineChars="200"/>
        <w:rPr>
          <w:sz w:val="21"/>
          <w:szCs w:val="21"/>
        </w:rPr>
      </w:pPr>
      <w:r>
        <w:rPr>
          <w:rFonts w:hint="eastAsia"/>
          <w:sz w:val="21"/>
          <w:szCs w:val="21"/>
        </w:rPr>
        <w:t>4、采集期间，采样人员应规范操作，态度温和，言语清晰，每完成一次采集应立即用速干手消毒剂做手卫生，认真揉搓双手，手消毒后未执行下一次采集之前，避免碰触污染物体表面，否则应重新执行手卫生。手套破损或渗漏，应立即更换。口咽拭子采集时，持采集棉签的手部不得触碰被采样人员。</w:t>
      </w:r>
    </w:p>
    <w:p>
      <w:pPr>
        <w:snapToGrid w:val="0"/>
        <w:spacing w:line="360" w:lineRule="auto"/>
        <w:ind w:firstLine="420" w:firstLineChars="200"/>
        <w:rPr>
          <w:sz w:val="21"/>
          <w:szCs w:val="21"/>
        </w:rPr>
      </w:pPr>
      <w:r>
        <w:rPr>
          <w:rFonts w:hint="eastAsia"/>
          <w:sz w:val="21"/>
          <w:szCs w:val="21"/>
        </w:rPr>
        <w:t>5、若接触了患者血液、体液、分泌物或排泄物，应及时更换乳胶手套，有条件的立即在流动水下做手卫生。</w:t>
      </w:r>
    </w:p>
    <w:p>
      <w:pPr>
        <w:snapToGrid w:val="0"/>
        <w:spacing w:line="360" w:lineRule="auto"/>
        <w:ind w:firstLine="420" w:firstLineChars="200"/>
        <w:rPr>
          <w:sz w:val="21"/>
          <w:szCs w:val="21"/>
        </w:rPr>
      </w:pPr>
      <w:r>
        <w:rPr>
          <w:rFonts w:hint="eastAsia"/>
          <w:sz w:val="21"/>
          <w:szCs w:val="21"/>
        </w:rPr>
        <w:t>6、采样人员应遵从流程管理，不得穿戴防护用品离开工作区域。</w:t>
      </w:r>
    </w:p>
    <w:p>
      <w:pPr>
        <w:pStyle w:val="3"/>
        <w:kinsoku w:val="0"/>
        <w:overflowPunct w:val="0"/>
        <w:snapToGrid w:val="0"/>
        <w:spacing w:line="360" w:lineRule="auto"/>
        <w:rPr>
          <w:rFonts w:asciiTheme="minorEastAsia" w:hAnsiTheme="minorEastAsia" w:eastAsiaTheme="minorEastAsia"/>
        </w:rPr>
      </w:pPr>
      <w:r>
        <w:rPr>
          <w:rFonts w:hint="eastAsia" w:asciiTheme="minorEastAsia" w:hAnsiTheme="minorEastAsia" w:eastAsiaTheme="minorEastAsia"/>
        </w:rPr>
        <w:t>八、其他要求</w:t>
      </w:r>
    </w:p>
    <w:p>
      <w:pPr>
        <w:snapToGrid w:val="0"/>
        <w:spacing w:line="360" w:lineRule="auto"/>
        <w:ind w:firstLine="420" w:firstLineChars="200"/>
        <w:rPr>
          <w:sz w:val="21"/>
          <w:szCs w:val="21"/>
        </w:rPr>
      </w:pPr>
      <w:r>
        <w:rPr>
          <w:rFonts w:hint="eastAsia"/>
          <w:sz w:val="21"/>
          <w:szCs w:val="21"/>
        </w:rPr>
        <w:t>1、中标人必须按照采购人要求配备作业人员和作业设备，并且严格按照规定的时间和方式方法进行核酸采样作业，保证人员按时到位。</w:t>
      </w:r>
    </w:p>
    <w:p>
      <w:pPr>
        <w:snapToGrid w:val="0"/>
        <w:spacing w:line="360" w:lineRule="auto"/>
        <w:ind w:firstLine="420" w:firstLineChars="200"/>
        <w:rPr>
          <w:sz w:val="21"/>
          <w:szCs w:val="21"/>
        </w:rPr>
      </w:pPr>
      <w:r>
        <w:rPr>
          <w:rFonts w:hint="eastAsia"/>
          <w:sz w:val="21"/>
          <w:szCs w:val="21"/>
        </w:rPr>
        <w:t>2、中标人承诺负责服务范围内的安全作业管理，严格按有关部门的要求，制定有关规章制度。</w:t>
      </w:r>
    </w:p>
    <w:p>
      <w:pPr>
        <w:snapToGrid w:val="0"/>
        <w:spacing w:line="360" w:lineRule="auto"/>
        <w:ind w:firstLine="420" w:firstLineChars="200"/>
        <w:rPr>
          <w:sz w:val="21"/>
          <w:szCs w:val="21"/>
        </w:rPr>
      </w:pPr>
      <w:r>
        <w:rPr>
          <w:rFonts w:hint="eastAsia"/>
          <w:sz w:val="21"/>
          <w:szCs w:val="21"/>
        </w:rPr>
        <w:t>3、中标人应负责对作业人员的思想教育，专业培训，做到遵纪守法，配证上岗。</w:t>
      </w:r>
    </w:p>
    <w:p>
      <w:pPr>
        <w:snapToGrid w:val="0"/>
        <w:spacing w:line="360" w:lineRule="auto"/>
        <w:ind w:firstLine="420" w:firstLineChars="200"/>
        <w:rPr>
          <w:sz w:val="21"/>
          <w:szCs w:val="21"/>
        </w:rPr>
      </w:pPr>
      <w:r>
        <w:rPr>
          <w:rFonts w:hint="eastAsia"/>
          <w:sz w:val="21"/>
          <w:szCs w:val="21"/>
        </w:rPr>
        <w:t>4</w:t>
      </w:r>
      <w:r>
        <w:rPr>
          <w:sz w:val="21"/>
          <w:szCs w:val="21"/>
        </w:rPr>
        <w:t>、</w:t>
      </w:r>
      <w:r>
        <w:rPr>
          <w:rFonts w:hint="eastAsia"/>
          <w:sz w:val="21"/>
          <w:szCs w:val="21"/>
        </w:rPr>
        <w:t>中标人应当配合做好上级部门布置的临时性、阶段性任务</w:t>
      </w:r>
      <w:r>
        <w:rPr>
          <w:sz w:val="21"/>
          <w:szCs w:val="21"/>
        </w:rPr>
        <w:t>(</w:t>
      </w:r>
      <w:r>
        <w:rPr>
          <w:rFonts w:hint="eastAsia"/>
          <w:sz w:val="21"/>
          <w:szCs w:val="21"/>
        </w:rPr>
        <w:t>含检查、突击整治、重大活动等</w:t>
      </w:r>
      <w:r>
        <w:rPr>
          <w:sz w:val="21"/>
          <w:szCs w:val="21"/>
        </w:rPr>
        <w:t>)</w:t>
      </w:r>
      <w:r>
        <w:rPr>
          <w:rFonts w:hint="eastAsia"/>
          <w:sz w:val="21"/>
          <w:szCs w:val="21"/>
        </w:rPr>
        <w:t>中的核酸采样工作。</w:t>
      </w:r>
    </w:p>
    <w:p>
      <w:pPr>
        <w:snapToGrid w:val="0"/>
        <w:spacing w:line="360" w:lineRule="auto"/>
        <w:ind w:firstLine="420" w:firstLineChars="200"/>
        <w:rPr>
          <w:sz w:val="21"/>
          <w:szCs w:val="21"/>
        </w:rPr>
      </w:pPr>
      <w:r>
        <w:rPr>
          <w:rFonts w:hint="eastAsia"/>
          <w:sz w:val="21"/>
          <w:szCs w:val="21"/>
        </w:rPr>
        <w:t>5、中标人需保证在接到采购人下达的紧急任务后即时响应，并能在</w:t>
      </w:r>
      <w:r>
        <w:rPr>
          <w:sz w:val="21"/>
          <w:szCs w:val="21"/>
        </w:rPr>
        <w:t>30</w:t>
      </w:r>
      <w:r>
        <w:rPr>
          <w:rFonts w:hint="eastAsia"/>
          <w:sz w:val="21"/>
          <w:szCs w:val="21"/>
        </w:rPr>
        <w:t>分钟内响应到场提供服务。如需增派采样人员的情况，中标人需服从采购人的需要，并在24小时内安排采样人员到位，以满足检测需要。</w:t>
      </w:r>
    </w:p>
    <w:p>
      <w:pPr>
        <w:snapToGrid w:val="0"/>
        <w:spacing w:line="360" w:lineRule="auto"/>
        <w:ind w:firstLine="420" w:firstLineChars="200"/>
        <w:rPr>
          <w:sz w:val="21"/>
          <w:szCs w:val="21"/>
        </w:rPr>
      </w:pPr>
      <w:r>
        <w:rPr>
          <w:rFonts w:hint="eastAsia"/>
          <w:sz w:val="21"/>
          <w:szCs w:val="21"/>
        </w:rPr>
        <w:t>6、中标人具备提供大规模核酸筛查的组织和动员能力。</w:t>
      </w:r>
    </w:p>
    <w:p>
      <w:pPr>
        <w:snapToGrid w:val="0"/>
        <w:spacing w:line="360" w:lineRule="auto"/>
        <w:ind w:firstLine="420" w:firstLineChars="200"/>
        <w:rPr>
          <w:sz w:val="21"/>
          <w:szCs w:val="21"/>
        </w:rPr>
      </w:pPr>
      <w:r>
        <w:rPr>
          <w:rFonts w:hint="eastAsia"/>
          <w:sz w:val="21"/>
          <w:szCs w:val="21"/>
        </w:rPr>
        <w:t>7、中标人需完善采样人员考勤工作，中标人须在各个片区派出所驻点位置设置考勤打卡设备，并统计每次核酸检测任务的采样人员考勤情况，避免出现漏打卡，打错卡情况。采样人员考勤情况证明作为服务费用计算依据。</w:t>
      </w:r>
    </w:p>
    <w:p>
      <w:pPr>
        <w:snapToGrid w:val="0"/>
        <w:spacing w:line="360" w:lineRule="auto"/>
        <w:ind w:firstLine="420" w:firstLineChars="200"/>
        <w:rPr>
          <w:sz w:val="21"/>
          <w:szCs w:val="21"/>
        </w:rPr>
      </w:pPr>
      <w:r>
        <w:rPr>
          <w:rFonts w:hint="eastAsia"/>
          <w:sz w:val="21"/>
          <w:szCs w:val="21"/>
        </w:rPr>
        <w:t>8、采样人员的社保、意外保险等由中标人负责，如因用工引起的劳动纠纷问题由中标人负责解决。</w:t>
      </w:r>
    </w:p>
    <w:p>
      <w:pPr>
        <w:snapToGrid w:val="0"/>
        <w:spacing w:line="360" w:lineRule="auto"/>
        <w:ind w:firstLine="420" w:firstLineChars="200"/>
        <w:rPr>
          <w:sz w:val="21"/>
          <w:szCs w:val="21"/>
        </w:rPr>
      </w:pPr>
      <w:r>
        <w:rPr>
          <w:rFonts w:hint="eastAsia"/>
          <w:sz w:val="21"/>
          <w:szCs w:val="21"/>
        </w:rPr>
        <w:t>9、采购人不承诺具体的检测量，如若中标，实际执行以实际发生的数量为准。如采购人在本项目后续的采购合同签约及实施过程中出现因国家法规政策变更、采购人内部管理和需求调整等不可抗力因素，需调整或终止本项目合同的，采购人有权在提前1个月书面通知中标人的前提下适时调整或提前终止且无需承担违约责任。</w:t>
      </w:r>
    </w:p>
    <w:p>
      <w:pPr>
        <w:snapToGrid w:val="0"/>
        <w:spacing w:line="360" w:lineRule="auto"/>
        <w:rPr>
          <w:b/>
          <w:sz w:val="21"/>
          <w:szCs w:val="21"/>
        </w:rPr>
      </w:pPr>
      <w:r>
        <w:rPr>
          <w:rFonts w:hint="eastAsia"/>
          <w:b/>
          <w:sz w:val="21"/>
          <w:szCs w:val="21"/>
        </w:rPr>
        <w:t>九、服务期</w:t>
      </w:r>
    </w:p>
    <w:p>
      <w:pPr>
        <w:pStyle w:val="5"/>
        <w:kinsoku w:val="0"/>
        <w:overflowPunct w:val="0"/>
        <w:snapToGrid w:val="0"/>
        <w:spacing w:line="360" w:lineRule="auto"/>
        <w:ind w:firstLine="420" w:firstLineChars="200"/>
        <w:rPr>
          <w:rFonts w:asciiTheme="minorEastAsia" w:hAnsiTheme="minorEastAsia" w:eastAsiaTheme="minorEastAsia"/>
          <w:bCs/>
        </w:rPr>
      </w:pPr>
      <w:r>
        <w:rPr>
          <w:rFonts w:hint="eastAsia" w:asciiTheme="minorEastAsia" w:hAnsiTheme="minorEastAsia" w:eastAsiaTheme="minorEastAsia"/>
          <w:bCs/>
        </w:rPr>
        <w:t>自合同签订之日起2年。</w:t>
      </w:r>
    </w:p>
    <w:p>
      <w:pPr>
        <w:pStyle w:val="5"/>
        <w:kinsoku w:val="0"/>
        <w:overflowPunct w:val="0"/>
        <w:snapToGrid w:val="0"/>
        <w:spacing w:line="360" w:lineRule="auto"/>
        <w:rPr>
          <w:rFonts w:asciiTheme="minorEastAsia" w:hAnsiTheme="minorEastAsia" w:eastAsiaTheme="minorEastAsia"/>
          <w:b/>
          <w:bCs/>
        </w:rPr>
      </w:pPr>
      <w:r>
        <w:rPr>
          <w:rFonts w:hint="eastAsia" w:asciiTheme="minorEastAsia" w:hAnsiTheme="minorEastAsia" w:eastAsiaTheme="minorEastAsia"/>
          <w:b/>
          <w:bCs/>
        </w:rPr>
        <w:t>十、报价要求</w:t>
      </w:r>
    </w:p>
    <w:p>
      <w:pPr>
        <w:pStyle w:val="5"/>
        <w:kinsoku w:val="0"/>
        <w:overflowPunct w:val="0"/>
        <w:snapToGrid w:val="0"/>
        <w:spacing w:line="360" w:lineRule="auto"/>
        <w:ind w:firstLine="420" w:firstLineChars="200"/>
        <w:rPr>
          <w:rFonts w:asciiTheme="minorEastAsia" w:hAnsiTheme="minorEastAsia" w:eastAsiaTheme="minorEastAsia"/>
          <w:bCs/>
        </w:rPr>
      </w:pPr>
      <w:r>
        <w:rPr>
          <w:rFonts w:hint="eastAsia" w:asciiTheme="minorEastAsia" w:hAnsiTheme="minorEastAsia" w:eastAsiaTheme="minorEastAsia"/>
          <w:bCs/>
        </w:rPr>
        <w:t>本项目按单价最高限价进行报价，投标单价最高限价为87.5元/人/小时。投标报价为固定报价，</w:t>
      </w:r>
      <w:r>
        <w:rPr>
          <w:rFonts w:hint="eastAsia" w:asciiTheme="minorEastAsia" w:hAnsiTheme="minorEastAsia" w:cstheme="minorEastAsia"/>
          <w:snapToGrid w:val="0"/>
          <w:lang w:val="en-GB"/>
        </w:rPr>
        <w:t>否则被将视为非实质性响应招标文件，按无效投标处理。</w:t>
      </w:r>
    </w:p>
    <w:p>
      <w:pPr>
        <w:pStyle w:val="5"/>
        <w:kinsoku w:val="0"/>
        <w:overflowPunct w:val="0"/>
        <w:snapToGrid w:val="0"/>
        <w:spacing w:line="360" w:lineRule="auto"/>
        <w:rPr>
          <w:rFonts w:asciiTheme="minorEastAsia" w:hAnsiTheme="minorEastAsia" w:eastAsiaTheme="minorEastAsia"/>
          <w:b/>
          <w:bCs/>
        </w:rPr>
      </w:pPr>
      <w:r>
        <w:rPr>
          <w:rFonts w:hint="eastAsia" w:asciiTheme="minorEastAsia" w:hAnsiTheme="minorEastAsia" w:eastAsiaTheme="minorEastAsia"/>
          <w:b/>
          <w:bCs/>
        </w:rPr>
        <w:t>十一、支付条件及结算方式</w:t>
      </w:r>
    </w:p>
    <w:p>
      <w:pPr>
        <w:pStyle w:val="5"/>
        <w:kinsoku w:val="0"/>
        <w:overflowPunct w:val="0"/>
        <w:snapToGrid w:val="0"/>
        <w:spacing w:line="360" w:lineRule="auto"/>
        <w:ind w:firstLine="420" w:firstLineChars="200"/>
        <w:rPr>
          <w:rFonts w:asciiTheme="minorEastAsia" w:hAnsiTheme="minorEastAsia" w:eastAsiaTheme="minorEastAsia"/>
          <w:bCs/>
        </w:rPr>
      </w:pPr>
      <w:r>
        <w:rPr>
          <w:rFonts w:hint="eastAsia" w:asciiTheme="minorEastAsia" w:hAnsiTheme="minorEastAsia" w:eastAsiaTheme="minorEastAsia"/>
          <w:bCs/>
        </w:rPr>
        <w:t>1、工作时间从早上8时至次日凌晨</w:t>
      </w:r>
      <w:r>
        <w:rPr>
          <w:rFonts w:hint="eastAsia" w:asciiTheme="minorEastAsia" w:hAnsiTheme="minorEastAsia" w:eastAsiaTheme="minorEastAsia"/>
          <w:bCs/>
          <w:lang w:val="en-US" w:eastAsia="zh-CN"/>
        </w:rPr>
        <w:t>1</w:t>
      </w:r>
      <w:r>
        <w:rPr>
          <w:rFonts w:hint="eastAsia" w:asciiTheme="minorEastAsia" w:hAnsiTheme="minorEastAsia" w:eastAsiaTheme="minorEastAsia"/>
          <w:bCs/>
        </w:rPr>
        <w:t>时止，分为早班、晚班，每班工作8小时，工作时间可根据开展采样任务的需要进行调整。</w:t>
      </w:r>
    </w:p>
    <w:p>
      <w:pPr>
        <w:pStyle w:val="5"/>
        <w:kinsoku w:val="0"/>
        <w:overflowPunct w:val="0"/>
        <w:snapToGrid w:val="0"/>
        <w:spacing w:line="360" w:lineRule="auto"/>
        <w:ind w:firstLine="420" w:firstLineChars="200"/>
        <w:rPr>
          <w:rFonts w:asciiTheme="minorEastAsia" w:hAnsiTheme="minorEastAsia" w:eastAsiaTheme="minorEastAsia"/>
          <w:bCs/>
        </w:rPr>
      </w:pPr>
      <w:r>
        <w:rPr>
          <w:rFonts w:hint="eastAsia" w:asciiTheme="minorEastAsia" w:hAnsiTheme="minorEastAsia" w:eastAsiaTheme="minorEastAsia"/>
          <w:bCs/>
        </w:rPr>
        <w:t>2、服务费用按天数和人员计算，每天按8小时计算，少于8小时或多于8小时的，以小时为单位，按中标单价核定增减。加班工时以整数计算，不足一小时，不计算加班费。采样人员的考勤情况证明作为服务费计算依据。此费用包含人员的工资、交通费、误餐费等费用，采样过程中的防控物资由采购人提供。</w:t>
      </w:r>
    </w:p>
    <w:p>
      <w:pPr>
        <w:pStyle w:val="5"/>
        <w:kinsoku w:val="0"/>
        <w:overflowPunct w:val="0"/>
        <w:snapToGrid w:val="0"/>
        <w:spacing w:line="360" w:lineRule="auto"/>
        <w:ind w:firstLine="420" w:firstLineChars="200"/>
        <w:rPr>
          <w:rFonts w:asciiTheme="minorEastAsia" w:hAnsiTheme="minorEastAsia" w:eastAsiaTheme="minorEastAsia"/>
          <w:bCs/>
        </w:rPr>
      </w:pPr>
      <w:r>
        <w:rPr>
          <w:rFonts w:hint="eastAsia" w:asciiTheme="minorEastAsia" w:hAnsiTheme="minorEastAsia" w:eastAsiaTheme="minorEastAsia"/>
          <w:bCs/>
        </w:rPr>
        <w:t>3、疫情常态化管理时，乙方采样人员暂为长期工作人员，如需离职，需提前一周告知。新加入人员，有3天试用期，如通过试用，试用期费用按人数及天数100%结算，如因个人原因无法通过试用期，试用期费用按人数及天数50%结算。</w:t>
      </w:r>
    </w:p>
    <w:p>
      <w:pPr>
        <w:pStyle w:val="5"/>
        <w:kinsoku w:val="0"/>
        <w:overflowPunct w:val="0"/>
        <w:snapToGrid w:val="0"/>
        <w:spacing w:line="360" w:lineRule="auto"/>
        <w:ind w:firstLine="420" w:firstLineChars="200"/>
        <w:rPr>
          <w:rFonts w:asciiTheme="minorEastAsia" w:hAnsiTheme="minorEastAsia" w:eastAsiaTheme="minorEastAsia"/>
          <w:bCs/>
        </w:rPr>
      </w:pPr>
      <w:r>
        <w:rPr>
          <w:rFonts w:hint="eastAsia" w:asciiTheme="minorEastAsia" w:hAnsiTheme="minorEastAsia" w:eastAsiaTheme="minorEastAsia"/>
          <w:bCs/>
        </w:rPr>
        <w:t>4、本项目按自然季度结算实际费用，中标人须在服务费用结算前向采购人提交上一季度结算服务费用等额的合法发票。</w:t>
      </w:r>
    </w:p>
    <w:p>
      <w:pPr>
        <w:pStyle w:val="5"/>
        <w:kinsoku w:val="0"/>
        <w:overflowPunct w:val="0"/>
        <w:snapToGrid w:val="0"/>
        <w:spacing w:line="360" w:lineRule="auto"/>
        <w:ind w:firstLine="420" w:firstLineChars="200"/>
        <w:rPr>
          <w:rFonts w:asciiTheme="minorEastAsia" w:hAnsiTheme="minorEastAsia" w:eastAsiaTheme="minorEastAsia"/>
          <w:bCs/>
        </w:rPr>
      </w:pPr>
      <w:r>
        <w:rPr>
          <w:rFonts w:hint="eastAsia" w:asciiTheme="minorEastAsia" w:hAnsiTheme="minorEastAsia" w:eastAsiaTheme="minorEastAsia"/>
          <w:bCs/>
        </w:rPr>
        <w:t>5</w:t>
      </w:r>
      <w:r>
        <w:rPr>
          <w:rFonts w:asciiTheme="minorEastAsia" w:hAnsiTheme="minorEastAsia" w:eastAsiaTheme="minorEastAsia"/>
          <w:bCs/>
        </w:rPr>
        <w:t>、</w:t>
      </w:r>
      <w:r>
        <w:rPr>
          <w:rFonts w:hint="eastAsia" w:asciiTheme="minorEastAsia" w:hAnsiTheme="minorEastAsia" w:eastAsiaTheme="minorEastAsia"/>
          <w:bCs/>
        </w:rPr>
        <w:t>双方对于结算费用金额存在争议的，采购人按约定支付无争议部分，有争议部分待确认（含协商确认/司法确认等）后支付。</w:t>
      </w:r>
    </w:p>
    <w:sectPr>
      <w:footerReference r:id="rId3" w:type="default"/>
      <w:type w:val="continuous"/>
      <w:pgSz w:w="11906" w:h="16838"/>
      <w:pgMar w:top="1418" w:right="1701" w:bottom="1418" w:left="170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kinsoku w:val="0"/>
      <w:overflowPunct w:val="0"/>
      <w:spacing w:line="14" w:lineRule="auto"/>
      <w:rPr>
        <w:rFonts w:ascii="Times New Roman" w:cs="Times New Roman" w:eastAsiaTheme="minorEastAsia"/>
        <w:sz w:val="20"/>
        <w:szCs w:val="20"/>
      </w:rPr>
    </w:pPr>
    <w:r>
      <mc:AlternateContent>
        <mc:Choice Requires="wps">
          <w:drawing>
            <wp:anchor distT="0" distB="0" distL="114300" distR="114300" simplePos="0" relativeHeight="251659264" behindDoc="1" locked="0" layoutInCell="0" allowOverlap="1">
              <wp:simplePos x="0" y="0"/>
              <wp:positionH relativeFrom="page">
                <wp:posOffset>3697605</wp:posOffset>
              </wp:positionH>
              <wp:positionV relativeFrom="page">
                <wp:posOffset>10095865</wp:posOffset>
              </wp:positionV>
              <wp:extent cx="166370" cy="139700"/>
              <wp:effectExtent l="0" t="0" r="0" b="0"/>
              <wp:wrapNone/>
              <wp:docPr id="1" name="文本框 1"/>
              <wp:cNvGraphicFramePr/>
              <a:graphic xmlns:a="http://schemas.openxmlformats.org/drawingml/2006/main">
                <a:graphicData uri="http://schemas.microsoft.com/office/word/2010/wordprocessingShape">
                  <wps:wsp>
                    <wps:cNvSpPr txBox="1">
                      <a:spLocks noChangeArrowheads="1"/>
                    </wps:cNvSpPr>
                    <wps:spPr bwMode="auto">
                      <a:xfrm>
                        <a:off x="0" y="0"/>
                        <a:ext cx="166370" cy="139700"/>
                      </a:xfrm>
                      <a:prstGeom prst="rect">
                        <a:avLst/>
                      </a:prstGeom>
                      <a:noFill/>
                      <a:ln>
                        <a:noFill/>
                      </a:ln>
                    </wps:spPr>
                    <wps:txbx>
                      <w:txbxContent>
                        <w:p>
                          <w:pPr>
                            <w:pStyle w:val="5"/>
                            <w:kinsoku w:val="0"/>
                            <w:overflowPunct w:val="0"/>
                            <w:spacing w:line="220" w:lineRule="exact"/>
                            <w:ind w:left="40"/>
                            <w:rPr>
                              <w:sz w:val="18"/>
                              <w:szCs w:val="18"/>
                            </w:rPr>
                          </w:pPr>
                          <w:r>
                            <w:rPr>
                              <w:sz w:val="18"/>
                              <w:szCs w:val="18"/>
                            </w:rPr>
                            <w:fldChar w:fldCharType="begin"/>
                          </w:r>
                          <w:r>
                            <w:rPr>
                              <w:sz w:val="18"/>
                              <w:szCs w:val="18"/>
                            </w:rPr>
                            <w:instrText xml:space="preserve"> PAGE </w:instrText>
                          </w:r>
                          <w:r>
                            <w:rPr>
                              <w:sz w:val="18"/>
                              <w:szCs w:val="18"/>
                            </w:rPr>
                            <w:fldChar w:fldCharType="separate"/>
                          </w:r>
                          <w:r>
                            <w:rPr>
                              <w:sz w:val="18"/>
                              <w:szCs w:val="18"/>
                            </w:rPr>
                            <w:t>3</w:t>
                          </w:r>
                          <w:r>
                            <w:rPr>
                              <w:sz w:val="18"/>
                              <w:szCs w:val="18"/>
                            </w:rPr>
                            <w:fldChar w:fldCharType="end"/>
                          </w:r>
                        </w:p>
                      </w:txbxContent>
                    </wps:txbx>
                    <wps:bodyPr rot="0" vert="horz" wrap="square" lIns="0" tIns="0" rIns="0" bIns="0" anchor="t" anchorCtr="0" upright="1">
                      <a:noAutofit/>
                    </wps:bodyPr>
                  </wps:wsp>
                </a:graphicData>
              </a:graphic>
            </wp:anchor>
          </w:drawing>
        </mc:Choice>
        <mc:Fallback>
          <w:pict>
            <v:shape id="_x0000_s1026" o:spid="_x0000_s1026" o:spt="202" type="#_x0000_t202" style="position:absolute;left:0pt;margin-left:291.15pt;margin-top:794.95pt;height:11pt;width:13.1pt;mso-position-horizontal-relative:page;mso-position-vertical-relative:page;z-index:-251657216;mso-width-relative:page;mso-height-relative:page;" filled="f" stroked="f" coordsize="21600,21600" o:allowincell="f" o:gfxdata="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TbJTyNsAAAANAQAADwAAAAAAAAABACAA&#10;AAAiAAAAZHJzL2Rvd25yZXYueG1sUEsBAhQAFAAAAAgAh07iQMLy1d8KAgAABAQAAA4AAAAAAAAA&#10;AQAgAAAAKgEAAGRycy9lMm9Eb2MueG1sUEsFBgAAAAAGAAYAWQEAAKYFAAAAAA==&#10;">
              <v:fill on="f" focussize="0,0"/>
              <v:stroke on="f"/>
              <v:imagedata o:title=""/>
              <o:lock v:ext="edit" aspectratio="f"/>
              <v:textbox inset="0mm,0mm,0mm,0mm">
                <w:txbxContent>
                  <w:p>
                    <w:pPr>
                      <w:pStyle w:val="5"/>
                      <w:kinsoku w:val="0"/>
                      <w:overflowPunct w:val="0"/>
                      <w:spacing w:line="220" w:lineRule="exact"/>
                      <w:ind w:left="40"/>
                      <w:rPr>
                        <w:sz w:val="18"/>
                        <w:szCs w:val="18"/>
                      </w:rPr>
                    </w:pPr>
                    <w:r>
                      <w:rPr>
                        <w:sz w:val="18"/>
                        <w:szCs w:val="18"/>
                      </w:rPr>
                      <w:fldChar w:fldCharType="begin"/>
                    </w:r>
                    <w:r>
                      <w:rPr>
                        <w:sz w:val="18"/>
                        <w:szCs w:val="18"/>
                      </w:rPr>
                      <w:instrText xml:space="preserve"> PAGE </w:instrText>
                    </w:r>
                    <w:r>
                      <w:rPr>
                        <w:sz w:val="18"/>
                        <w:szCs w:val="18"/>
                      </w:rPr>
                      <w:fldChar w:fldCharType="separate"/>
                    </w:r>
                    <w:r>
                      <w:rPr>
                        <w:sz w:val="18"/>
                        <w:szCs w:val="18"/>
                      </w:rPr>
                      <w:t>3</w:t>
                    </w:r>
                    <w:r>
                      <w:rPr>
                        <w:sz w:val="18"/>
                        <w:szCs w:val="18"/>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UyMjc2MmM0MDgxZjA2NTJhNDUyMDBiZjkzNmU3NTEifQ=="/>
  </w:docVars>
  <w:rsids>
    <w:rsidRoot w:val="00EA0673"/>
    <w:rsid w:val="00011A75"/>
    <w:rsid w:val="00014C27"/>
    <w:rsid w:val="00032F55"/>
    <w:rsid w:val="00033422"/>
    <w:rsid w:val="00042CE1"/>
    <w:rsid w:val="000A079C"/>
    <w:rsid w:val="000B750D"/>
    <w:rsid w:val="000D356D"/>
    <w:rsid w:val="001B2A42"/>
    <w:rsid w:val="002507A2"/>
    <w:rsid w:val="00290328"/>
    <w:rsid w:val="002C146C"/>
    <w:rsid w:val="003142AA"/>
    <w:rsid w:val="00394D02"/>
    <w:rsid w:val="003E1210"/>
    <w:rsid w:val="00421665"/>
    <w:rsid w:val="004466B4"/>
    <w:rsid w:val="004522C6"/>
    <w:rsid w:val="004E61DA"/>
    <w:rsid w:val="004F6BD6"/>
    <w:rsid w:val="004F76C1"/>
    <w:rsid w:val="0051058C"/>
    <w:rsid w:val="005368DE"/>
    <w:rsid w:val="00562249"/>
    <w:rsid w:val="0056519B"/>
    <w:rsid w:val="00577342"/>
    <w:rsid w:val="005A6496"/>
    <w:rsid w:val="005E4D6E"/>
    <w:rsid w:val="00632A4B"/>
    <w:rsid w:val="0064584B"/>
    <w:rsid w:val="00690BC7"/>
    <w:rsid w:val="006A2A53"/>
    <w:rsid w:val="006C50AB"/>
    <w:rsid w:val="00711B1B"/>
    <w:rsid w:val="00712FAF"/>
    <w:rsid w:val="007D380D"/>
    <w:rsid w:val="00820125"/>
    <w:rsid w:val="008C4014"/>
    <w:rsid w:val="00913227"/>
    <w:rsid w:val="00A228DC"/>
    <w:rsid w:val="00A333AA"/>
    <w:rsid w:val="00A81B31"/>
    <w:rsid w:val="00A82528"/>
    <w:rsid w:val="00A83F72"/>
    <w:rsid w:val="00A8402A"/>
    <w:rsid w:val="00B60E98"/>
    <w:rsid w:val="00B960BE"/>
    <w:rsid w:val="00BD37CE"/>
    <w:rsid w:val="00BD4E22"/>
    <w:rsid w:val="00BD6683"/>
    <w:rsid w:val="00C0566E"/>
    <w:rsid w:val="00CB661B"/>
    <w:rsid w:val="00CC000B"/>
    <w:rsid w:val="00CF2826"/>
    <w:rsid w:val="00CF618C"/>
    <w:rsid w:val="00D63523"/>
    <w:rsid w:val="00DA189D"/>
    <w:rsid w:val="00DD4657"/>
    <w:rsid w:val="00E10D42"/>
    <w:rsid w:val="00EA0673"/>
    <w:rsid w:val="00EA5862"/>
    <w:rsid w:val="00ED2834"/>
    <w:rsid w:val="00EF7BA6"/>
    <w:rsid w:val="00FF325E"/>
    <w:rsid w:val="28526039"/>
    <w:rsid w:val="491B6781"/>
    <w:rsid w:val="75314BD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iPriority="9" w:name="heading 2"/>
    <w:lsdException w:qFormat="1" w:unhideWhenUsed="0" w:uiPriority="1"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0"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iPriority="5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adjustRightInd w:val="0"/>
    </w:pPr>
    <w:rPr>
      <w:rFonts w:ascii="宋体" w:hAnsi="Times New Roman" w:eastAsia="宋体" w:cs="宋体"/>
      <w:kern w:val="0"/>
      <w:sz w:val="22"/>
      <w:szCs w:val="22"/>
      <w:lang w:val="en-US" w:eastAsia="zh-CN" w:bidi="ar-SA"/>
    </w:rPr>
  </w:style>
  <w:style w:type="paragraph" w:styleId="2">
    <w:name w:val="heading 1"/>
    <w:basedOn w:val="1"/>
    <w:next w:val="1"/>
    <w:link w:val="14"/>
    <w:qFormat/>
    <w:uiPriority w:val="1"/>
    <w:pPr>
      <w:spacing w:before="67"/>
      <w:ind w:left="3284"/>
      <w:outlineLvl w:val="0"/>
    </w:pPr>
    <w:rPr>
      <w:b/>
      <w:bCs/>
      <w:sz w:val="36"/>
      <w:szCs w:val="36"/>
    </w:rPr>
  </w:style>
  <w:style w:type="paragraph" w:styleId="3">
    <w:name w:val="heading 3"/>
    <w:basedOn w:val="1"/>
    <w:next w:val="1"/>
    <w:link w:val="15"/>
    <w:qFormat/>
    <w:uiPriority w:val="1"/>
    <w:pPr>
      <w:ind w:left="220"/>
      <w:outlineLvl w:val="2"/>
    </w:pPr>
    <w:rPr>
      <w:b/>
      <w:bCs/>
      <w:sz w:val="21"/>
      <w:szCs w:val="21"/>
    </w:rPr>
  </w:style>
  <w:style w:type="paragraph" w:styleId="4">
    <w:name w:val="heading 5"/>
    <w:basedOn w:val="1"/>
    <w:next w:val="1"/>
    <w:link w:val="19"/>
    <w:semiHidden/>
    <w:unhideWhenUsed/>
    <w:qFormat/>
    <w:uiPriority w:val="9"/>
    <w:pPr>
      <w:keepNext/>
      <w:keepLines/>
      <w:spacing w:before="280" w:after="290" w:line="376" w:lineRule="auto"/>
      <w:outlineLvl w:val="4"/>
    </w:pPr>
    <w:rPr>
      <w:b/>
      <w:bCs/>
      <w:sz w:val="28"/>
      <w:szCs w:val="28"/>
    </w:rPr>
  </w:style>
  <w:style w:type="character" w:default="1" w:styleId="10">
    <w:name w:val="Default Paragraph Font"/>
    <w:semiHidden/>
    <w:unhideWhenUsed/>
    <w:qFormat/>
    <w:uiPriority w:val="1"/>
  </w:style>
  <w:style w:type="table" w:default="1" w:styleId="9">
    <w:name w:val="Normal Table"/>
    <w:semiHidden/>
    <w:unhideWhenUsed/>
    <w:uiPriority w:val="99"/>
    <w:tblPr>
      <w:tblCellMar>
        <w:top w:w="0" w:type="dxa"/>
        <w:left w:w="108" w:type="dxa"/>
        <w:bottom w:w="0" w:type="dxa"/>
        <w:right w:w="108" w:type="dxa"/>
      </w:tblCellMar>
    </w:tblPr>
  </w:style>
  <w:style w:type="paragraph" w:styleId="5">
    <w:name w:val="Body Text"/>
    <w:basedOn w:val="1"/>
    <w:link w:val="16"/>
    <w:qFormat/>
    <w:uiPriority w:val="1"/>
    <w:rPr>
      <w:sz w:val="21"/>
      <w:szCs w:val="21"/>
    </w:rPr>
  </w:style>
  <w:style w:type="paragraph" w:styleId="6">
    <w:name w:val="footer"/>
    <w:basedOn w:val="1"/>
    <w:link w:val="13"/>
    <w:unhideWhenUsed/>
    <w:qFormat/>
    <w:uiPriority w:val="99"/>
    <w:pPr>
      <w:tabs>
        <w:tab w:val="center" w:pos="4153"/>
        <w:tab w:val="right" w:pos="8306"/>
      </w:tabs>
      <w:snapToGrid w:val="0"/>
    </w:pPr>
    <w:rPr>
      <w:sz w:val="18"/>
      <w:szCs w:val="18"/>
    </w:rPr>
  </w:style>
  <w:style w:type="paragraph" w:styleId="7">
    <w:name w:val="header"/>
    <w:basedOn w:val="1"/>
    <w:link w:val="12"/>
    <w:unhideWhenUsed/>
    <w:qFormat/>
    <w:uiPriority w:val="0"/>
    <w:pPr>
      <w:pBdr>
        <w:bottom w:val="single" w:color="auto" w:sz="6" w:space="1"/>
      </w:pBdr>
      <w:tabs>
        <w:tab w:val="center" w:pos="4153"/>
        <w:tab w:val="right" w:pos="8306"/>
      </w:tabs>
      <w:snapToGrid w:val="0"/>
      <w:jc w:val="center"/>
    </w:pPr>
    <w:rPr>
      <w:sz w:val="18"/>
      <w:szCs w:val="18"/>
    </w:rPr>
  </w:style>
  <w:style w:type="paragraph" w:styleId="8">
    <w:name w:val="Normal (Web)"/>
    <w:basedOn w:val="1"/>
    <w:qFormat/>
    <w:uiPriority w:val="0"/>
    <w:pPr>
      <w:autoSpaceDE/>
      <w:autoSpaceDN/>
      <w:adjustRightInd/>
      <w:jc w:val="both"/>
    </w:pPr>
    <w:rPr>
      <w:rFonts w:ascii="Times New Roman" w:cs="Times New Roman"/>
      <w:kern w:val="2"/>
      <w:sz w:val="24"/>
      <w:szCs w:val="24"/>
    </w:rPr>
  </w:style>
  <w:style w:type="character" w:styleId="11">
    <w:name w:val="Hyperlink"/>
    <w:basedOn w:val="10"/>
    <w:unhideWhenUsed/>
    <w:qFormat/>
    <w:uiPriority w:val="99"/>
    <w:rPr>
      <w:color w:val="0000FF" w:themeColor="hyperlink"/>
      <w:u w:val="single"/>
      <w14:textFill>
        <w14:solidFill>
          <w14:schemeClr w14:val="hlink"/>
        </w14:solidFill>
      </w14:textFill>
    </w:rPr>
  </w:style>
  <w:style w:type="character" w:customStyle="1" w:styleId="12">
    <w:name w:val="页眉 字符"/>
    <w:basedOn w:val="10"/>
    <w:link w:val="7"/>
    <w:qFormat/>
    <w:uiPriority w:val="0"/>
    <w:rPr>
      <w:sz w:val="18"/>
      <w:szCs w:val="18"/>
    </w:rPr>
  </w:style>
  <w:style w:type="character" w:customStyle="1" w:styleId="13">
    <w:name w:val="页脚 字符"/>
    <w:basedOn w:val="10"/>
    <w:link w:val="6"/>
    <w:qFormat/>
    <w:uiPriority w:val="99"/>
    <w:rPr>
      <w:sz w:val="18"/>
      <w:szCs w:val="18"/>
    </w:rPr>
  </w:style>
  <w:style w:type="character" w:customStyle="1" w:styleId="14">
    <w:name w:val="标题 1 字符"/>
    <w:basedOn w:val="10"/>
    <w:link w:val="2"/>
    <w:qFormat/>
    <w:uiPriority w:val="1"/>
    <w:rPr>
      <w:rFonts w:ascii="宋体" w:hAnsi="Times New Roman" w:eastAsia="宋体" w:cs="宋体"/>
      <w:b/>
      <w:bCs/>
      <w:kern w:val="0"/>
      <w:sz w:val="36"/>
      <w:szCs w:val="36"/>
    </w:rPr>
  </w:style>
  <w:style w:type="character" w:customStyle="1" w:styleId="15">
    <w:name w:val="标题 3 字符"/>
    <w:basedOn w:val="10"/>
    <w:link w:val="3"/>
    <w:qFormat/>
    <w:uiPriority w:val="1"/>
    <w:rPr>
      <w:rFonts w:ascii="宋体" w:hAnsi="Times New Roman" w:eastAsia="宋体" w:cs="宋体"/>
      <w:b/>
      <w:bCs/>
      <w:kern w:val="0"/>
      <w:szCs w:val="21"/>
    </w:rPr>
  </w:style>
  <w:style w:type="character" w:customStyle="1" w:styleId="16">
    <w:name w:val="正文文本 字符"/>
    <w:basedOn w:val="10"/>
    <w:link w:val="5"/>
    <w:qFormat/>
    <w:uiPriority w:val="1"/>
    <w:rPr>
      <w:rFonts w:ascii="宋体" w:hAnsi="Times New Roman" w:eastAsia="宋体" w:cs="宋体"/>
      <w:kern w:val="0"/>
      <w:szCs w:val="21"/>
    </w:rPr>
  </w:style>
  <w:style w:type="paragraph" w:styleId="17">
    <w:name w:val="List Paragraph"/>
    <w:basedOn w:val="1"/>
    <w:qFormat/>
    <w:uiPriority w:val="34"/>
    <w:pPr>
      <w:ind w:left="220" w:firstLine="420"/>
    </w:pPr>
    <w:rPr>
      <w:sz w:val="24"/>
      <w:szCs w:val="24"/>
    </w:rPr>
  </w:style>
  <w:style w:type="paragraph" w:customStyle="1" w:styleId="18">
    <w:name w:val="Table Paragraph"/>
    <w:basedOn w:val="1"/>
    <w:qFormat/>
    <w:uiPriority w:val="1"/>
    <w:rPr>
      <w:sz w:val="24"/>
      <w:szCs w:val="24"/>
    </w:rPr>
  </w:style>
  <w:style w:type="character" w:customStyle="1" w:styleId="19">
    <w:name w:val="标题 5 字符"/>
    <w:basedOn w:val="10"/>
    <w:link w:val="4"/>
    <w:semiHidden/>
    <w:qFormat/>
    <w:uiPriority w:val="9"/>
    <w:rPr>
      <w:rFonts w:ascii="宋体" w:hAnsi="Times New Roman" w:eastAsia="宋体" w:cs="宋体"/>
      <w:b/>
      <w:bCs/>
      <w:kern w:val="0"/>
      <w:sz w:val="28"/>
      <w:szCs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CEAAC61-7C79-4EFE-BCE0-C2BE8EC02C29}">
  <ds:schemaRefs/>
</ds:datastoreItem>
</file>

<file path=docProps/app.xml><?xml version="1.0" encoding="utf-8"?>
<Properties xmlns="http://schemas.openxmlformats.org/officeDocument/2006/extended-properties" xmlns:vt="http://schemas.openxmlformats.org/officeDocument/2006/docPropsVTypes">
  <Template>Normal</Template>
  <Pages>3</Pages>
  <Words>2943</Words>
  <Characters>2958</Characters>
  <Lines>21</Lines>
  <Paragraphs>6</Paragraphs>
  <TotalTime>27</TotalTime>
  <ScaleCrop>false</ScaleCrop>
  <LinksUpToDate>false</LinksUpToDate>
  <CharactersWithSpaces>2958</CharactersWithSpaces>
  <Application>WPS Office_11.1.0.12313_F1E327BC-269C-435d-A152-05C5408002CA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2022-10-09T09:44:00Z</dcterms:created>
  <dc:creator>fatina</dc:creator>
  <cp:lastModifiedBy>金金</cp:lastModifiedBy>
  <dcterms:modified xsi:type="dcterms:W3CDTF">2022-10-25T02:30:15Z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2052-11.1.0.12313</vt:lpwstr>
  </property>
  <property fmtid="{D5CDD505-2E9C-101B-9397-08002B2CF9AE}" pid="3" name="ICV">
    <vt:lpwstr>97E2F88A472E45E0A1C5C6C0BA849D98</vt:lpwstr>
  </property>
</Properties>
</file>